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CBF" w:rsidRDefault="008245FF" w:rsidP="001038F0">
      <w:pPr>
        <w:spacing w:after="0"/>
        <w:ind w:right="49"/>
        <w:jc w:val="center"/>
        <w:rPr>
          <w:rFonts w:ascii="Times New Roman" w:hAnsi="Times New Roman" w:cs="Times New Roman"/>
          <w:b/>
          <w:sz w:val="28"/>
          <w:szCs w:val="28"/>
          <w:lang w:val="ro-RO"/>
        </w:rPr>
      </w:pPr>
      <w:bookmarkStart w:id="0" w:name="_GoBack"/>
      <w:bookmarkEnd w:id="0"/>
      <w:r w:rsidRPr="00615A88">
        <w:rPr>
          <w:rFonts w:ascii="Times New Roman" w:hAnsi="Times New Roman" w:cs="Times New Roman"/>
          <w:b/>
          <w:sz w:val="28"/>
          <w:szCs w:val="28"/>
          <w:lang w:val="ro-RO"/>
        </w:rPr>
        <w:t>NORME</w:t>
      </w:r>
    </w:p>
    <w:p w:rsidR="00E57656" w:rsidRPr="00E57656" w:rsidRDefault="00E57656" w:rsidP="00F65CBF">
      <w:pPr>
        <w:spacing w:after="0"/>
        <w:ind w:right="49"/>
        <w:jc w:val="center"/>
        <w:rPr>
          <w:rFonts w:ascii="Times New Roman" w:hAnsi="Times New Roman" w:cs="Times New Roman"/>
          <w:b/>
          <w:sz w:val="28"/>
          <w:szCs w:val="28"/>
          <w:lang w:val="ro-RO"/>
        </w:rPr>
      </w:pPr>
      <w:r w:rsidRPr="00E57656">
        <w:rPr>
          <w:rFonts w:ascii="Times New Roman" w:hAnsi="Times New Roman" w:cs="Times New Roman"/>
          <w:b/>
          <w:sz w:val="28"/>
          <w:szCs w:val="28"/>
          <w:lang w:val="ro-RO"/>
        </w:rPr>
        <w:t xml:space="preserve">privind termenele de achitare a plăților și cotizațiilor </w:t>
      </w:r>
    </w:p>
    <w:p w:rsidR="00E57656" w:rsidRPr="00E57656" w:rsidRDefault="00E57656" w:rsidP="00E57656">
      <w:pPr>
        <w:pStyle w:val="ListParagraph"/>
        <w:tabs>
          <w:tab w:val="left" w:pos="142"/>
        </w:tabs>
        <w:spacing w:after="0" w:line="240" w:lineRule="auto"/>
        <w:ind w:left="0"/>
        <w:jc w:val="center"/>
        <w:rPr>
          <w:rFonts w:ascii="Times New Roman" w:hAnsi="Times New Roman" w:cs="Times New Roman"/>
          <w:b/>
          <w:sz w:val="28"/>
          <w:szCs w:val="28"/>
          <w:lang w:val="ro-RO"/>
        </w:rPr>
      </w:pPr>
      <w:r w:rsidRPr="00E57656">
        <w:rPr>
          <w:rFonts w:ascii="Times New Roman" w:hAnsi="Times New Roman" w:cs="Times New Roman"/>
          <w:b/>
          <w:sz w:val="28"/>
          <w:szCs w:val="28"/>
          <w:lang w:val="ro-RO"/>
        </w:rPr>
        <w:t xml:space="preserve"> </w:t>
      </w:r>
    </w:p>
    <w:p w:rsidR="00E57656" w:rsidRDefault="00E57656" w:rsidP="00E57656">
      <w:pPr>
        <w:pStyle w:val="ListParagraph"/>
        <w:tabs>
          <w:tab w:val="left" w:pos="142"/>
        </w:tabs>
        <w:spacing w:after="0" w:line="240" w:lineRule="auto"/>
        <w:ind w:left="0"/>
        <w:jc w:val="center"/>
        <w:rPr>
          <w:rFonts w:ascii="Times New Roman" w:hAnsi="Times New Roman" w:cs="Times New Roman"/>
          <w:sz w:val="28"/>
          <w:szCs w:val="28"/>
          <w:lang w:val="ro-RO"/>
        </w:rPr>
      </w:pPr>
    </w:p>
    <w:p w:rsidR="008245FF" w:rsidRPr="00615A88" w:rsidRDefault="008245FF" w:rsidP="00F65CBF">
      <w:pPr>
        <w:pStyle w:val="ListParagraph"/>
        <w:tabs>
          <w:tab w:val="left" w:pos="142"/>
        </w:tabs>
        <w:spacing w:before="240" w:after="0" w:line="240" w:lineRule="auto"/>
        <w:ind w:left="0"/>
        <w:jc w:val="both"/>
        <w:rPr>
          <w:rFonts w:ascii="Times New Roman" w:hAnsi="Times New Roman" w:cs="Times New Roman"/>
          <w:sz w:val="28"/>
          <w:szCs w:val="28"/>
          <w:lang w:val="ro-RO"/>
        </w:rPr>
      </w:pPr>
      <w:r w:rsidRPr="00615A88">
        <w:rPr>
          <w:rFonts w:ascii="Times New Roman" w:hAnsi="Times New Roman" w:cs="Times New Roman"/>
          <w:sz w:val="28"/>
          <w:szCs w:val="28"/>
          <w:lang w:val="ro-RO"/>
        </w:rPr>
        <w:tab/>
      </w:r>
      <w:r w:rsidRPr="00615A88">
        <w:rPr>
          <w:rFonts w:ascii="Times New Roman" w:hAnsi="Times New Roman" w:cs="Times New Roman"/>
          <w:sz w:val="28"/>
          <w:szCs w:val="28"/>
          <w:lang w:val="ro-RO"/>
        </w:rPr>
        <w:tab/>
        <w:t xml:space="preserve">Normele privind termenele de achitare a plăților și cotizațiilor </w:t>
      </w:r>
      <w:r w:rsidR="00F65CBF">
        <w:rPr>
          <w:rFonts w:ascii="Times New Roman" w:hAnsi="Times New Roman" w:cs="Times New Roman"/>
          <w:sz w:val="28"/>
          <w:szCs w:val="28"/>
          <w:lang w:val="ro-RO"/>
        </w:rPr>
        <w:t>(</w:t>
      </w:r>
      <w:r w:rsidR="003C4C27">
        <w:rPr>
          <w:rFonts w:ascii="Times New Roman" w:hAnsi="Times New Roman" w:cs="Times New Roman"/>
          <w:sz w:val="28"/>
          <w:szCs w:val="28"/>
          <w:lang w:val="ro-RO"/>
        </w:rPr>
        <w:t>în continuare - N</w:t>
      </w:r>
      <w:r w:rsidRPr="00615A88">
        <w:rPr>
          <w:rFonts w:ascii="Times New Roman" w:hAnsi="Times New Roman" w:cs="Times New Roman"/>
          <w:sz w:val="28"/>
          <w:szCs w:val="28"/>
          <w:lang w:val="ro-RO"/>
        </w:rPr>
        <w:t xml:space="preserve">orme) </w:t>
      </w:r>
      <w:proofErr w:type="spellStart"/>
      <w:r w:rsidRPr="00615A88">
        <w:rPr>
          <w:rFonts w:ascii="Times New Roman" w:hAnsi="Times New Roman" w:cs="Times New Roman"/>
          <w:sz w:val="28"/>
          <w:szCs w:val="28"/>
          <w:lang w:val="ro-RO"/>
        </w:rPr>
        <w:t>sînt</w:t>
      </w:r>
      <w:proofErr w:type="spellEnd"/>
      <w:r w:rsidRPr="00615A88">
        <w:rPr>
          <w:rFonts w:ascii="Times New Roman" w:hAnsi="Times New Roman" w:cs="Times New Roman"/>
          <w:sz w:val="28"/>
          <w:szCs w:val="28"/>
          <w:lang w:val="ro-RO"/>
        </w:rPr>
        <w:t xml:space="preserve"> elaborate conform </w:t>
      </w:r>
      <w:r w:rsidR="00F65CBF">
        <w:rPr>
          <w:rFonts w:ascii="Times New Roman" w:hAnsi="Times New Roman" w:cs="Times New Roman"/>
          <w:sz w:val="28"/>
          <w:szCs w:val="28"/>
          <w:lang w:val="ro-RO"/>
        </w:rPr>
        <w:t>prevederilor art.39 alin.(3) și (4) al Legii</w:t>
      </w:r>
      <w:r w:rsidRPr="00615A88">
        <w:rPr>
          <w:rFonts w:ascii="Times New Roman" w:hAnsi="Times New Roman" w:cs="Times New Roman"/>
          <w:sz w:val="28"/>
          <w:szCs w:val="28"/>
          <w:lang w:val="ro-RO"/>
        </w:rPr>
        <w:t xml:space="preserve"> nr. 271 din 15.12.2017 privind auditul situațiilor financiare (Monito</w:t>
      </w:r>
      <w:r w:rsidR="00FD57D3">
        <w:rPr>
          <w:rFonts w:ascii="Times New Roman" w:hAnsi="Times New Roman" w:cs="Times New Roman"/>
          <w:sz w:val="28"/>
          <w:szCs w:val="28"/>
          <w:lang w:val="ro-RO"/>
        </w:rPr>
        <w:t>rul Oficial al R. Moldova nr.7-17, art.</w:t>
      </w:r>
      <w:r w:rsidRPr="00615A88">
        <w:rPr>
          <w:rFonts w:ascii="Times New Roman" w:hAnsi="Times New Roman" w:cs="Times New Roman"/>
          <w:sz w:val="28"/>
          <w:szCs w:val="28"/>
          <w:lang w:val="ro-RO"/>
        </w:rPr>
        <w:t>48</w:t>
      </w:r>
      <w:r w:rsidR="00FD57D3">
        <w:rPr>
          <w:rFonts w:ascii="Times New Roman" w:hAnsi="Times New Roman" w:cs="Times New Roman"/>
          <w:sz w:val="28"/>
          <w:szCs w:val="28"/>
          <w:lang w:val="ro-RO"/>
        </w:rPr>
        <w:t xml:space="preserve"> din 12.01.2018</w:t>
      </w:r>
      <w:r w:rsidRPr="00615A88">
        <w:rPr>
          <w:rFonts w:ascii="Times New Roman" w:hAnsi="Times New Roman" w:cs="Times New Roman"/>
          <w:sz w:val="28"/>
          <w:szCs w:val="28"/>
          <w:lang w:val="ro-RO"/>
        </w:rPr>
        <w:t>) și reglementează termenele de achitare a plăților și cotizațiilor.</w:t>
      </w:r>
    </w:p>
    <w:p w:rsidR="00C139AE" w:rsidRPr="00615A88" w:rsidRDefault="00C139AE" w:rsidP="00C139AE">
      <w:pPr>
        <w:pStyle w:val="ListParagraph"/>
        <w:tabs>
          <w:tab w:val="left" w:pos="142"/>
        </w:tabs>
        <w:spacing w:after="0" w:line="240" w:lineRule="auto"/>
        <w:ind w:left="0"/>
        <w:jc w:val="center"/>
        <w:rPr>
          <w:rFonts w:ascii="Times New Roman" w:hAnsi="Times New Roman" w:cs="Times New Roman"/>
          <w:sz w:val="28"/>
          <w:szCs w:val="28"/>
          <w:lang w:val="ro-RO"/>
        </w:rPr>
      </w:pPr>
    </w:p>
    <w:p w:rsidR="008C0E35" w:rsidRPr="00615A88" w:rsidRDefault="003C4C27" w:rsidP="008C0E35">
      <w:pPr>
        <w:pStyle w:val="Default"/>
        <w:ind w:firstLine="720"/>
        <w:jc w:val="both"/>
        <w:rPr>
          <w:rFonts w:eastAsia="Times New Roman"/>
          <w:sz w:val="28"/>
          <w:szCs w:val="28"/>
          <w:lang w:val="ro-RO"/>
        </w:rPr>
      </w:pPr>
      <w:r>
        <w:rPr>
          <w:rFonts w:eastAsia="Times New Roman"/>
          <w:sz w:val="28"/>
          <w:szCs w:val="28"/>
          <w:lang w:val="ro-RO"/>
        </w:rPr>
        <w:t>Prezentele N</w:t>
      </w:r>
      <w:r w:rsidR="008C0E35" w:rsidRPr="00615A88">
        <w:rPr>
          <w:rFonts w:eastAsia="Times New Roman"/>
          <w:sz w:val="28"/>
          <w:szCs w:val="28"/>
          <w:lang w:val="ro-RO"/>
        </w:rPr>
        <w:t xml:space="preserve">orme se extind asupra stagiarilor în audit, auditorilor, entităților de audit, persoanelor fizice pentru admiterea la probele scrise ale examenului pentru obținerea calificării profesionale de auditor, persoanelor fizice pentru recunoașterea certificatelor internaționale în domeniul contabilității și auditului.   </w:t>
      </w:r>
    </w:p>
    <w:p w:rsidR="008C0E35" w:rsidRPr="00615A88" w:rsidRDefault="008C0E35" w:rsidP="008C0E35">
      <w:pPr>
        <w:pStyle w:val="Default"/>
        <w:jc w:val="both"/>
        <w:rPr>
          <w:rFonts w:eastAsia="Times New Roman"/>
          <w:sz w:val="28"/>
          <w:szCs w:val="28"/>
          <w:lang w:val="ro-RO"/>
        </w:rPr>
      </w:pPr>
    </w:p>
    <w:tbl>
      <w:tblPr>
        <w:tblStyle w:val="TableGrid"/>
        <w:tblW w:w="0" w:type="auto"/>
        <w:tblInd w:w="108" w:type="dxa"/>
        <w:tblLook w:val="04A0" w:firstRow="1" w:lastRow="0" w:firstColumn="1" w:lastColumn="0" w:noHBand="0" w:noVBand="1"/>
      </w:tblPr>
      <w:tblGrid>
        <w:gridCol w:w="613"/>
        <w:gridCol w:w="6380"/>
        <w:gridCol w:w="2969"/>
      </w:tblGrid>
      <w:tr w:rsidR="008C0E35" w:rsidRPr="00615A88" w:rsidTr="000A5336">
        <w:tc>
          <w:tcPr>
            <w:tcW w:w="613" w:type="dxa"/>
          </w:tcPr>
          <w:p w:rsidR="008C0E35" w:rsidRPr="00615A88" w:rsidRDefault="008C0E35" w:rsidP="00234C90">
            <w:pPr>
              <w:pStyle w:val="Default"/>
              <w:jc w:val="both"/>
              <w:rPr>
                <w:rFonts w:eastAsia="Times New Roman"/>
                <w:b/>
                <w:sz w:val="28"/>
                <w:szCs w:val="28"/>
                <w:lang w:val="ro-RO"/>
              </w:rPr>
            </w:pPr>
            <w:r w:rsidRPr="00615A88">
              <w:rPr>
                <w:rFonts w:eastAsia="Times New Roman"/>
                <w:b/>
                <w:sz w:val="28"/>
                <w:szCs w:val="28"/>
                <w:lang w:val="ro-RO"/>
              </w:rPr>
              <w:t>Nr. d/o</w:t>
            </w:r>
          </w:p>
        </w:tc>
        <w:tc>
          <w:tcPr>
            <w:tcW w:w="6475" w:type="dxa"/>
          </w:tcPr>
          <w:p w:rsidR="008C0E35" w:rsidRPr="00615A88" w:rsidRDefault="008C0E35" w:rsidP="00234C90">
            <w:pPr>
              <w:pStyle w:val="Default"/>
              <w:jc w:val="center"/>
              <w:rPr>
                <w:rFonts w:eastAsia="Times New Roman"/>
                <w:b/>
                <w:sz w:val="28"/>
                <w:szCs w:val="28"/>
                <w:lang w:val="ro-RO"/>
              </w:rPr>
            </w:pPr>
            <w:r w:rsidRPr="00615A88">
              <w:rPr>
                <w:rFonts w:eastAsia="Times New Roman"/>
                <w:b/>
                <w:sz w:val="28"/>
                <w:szCs w:val="28"/>
                <w:lang w:val="ro-RO"/>
              </w:rPr>
              <w:t>Plăți și cotizații</w:t>
            </w:r>
          </w:p>
        </w:tc>
        <w:tc>
          <w:tcPr>
            <w:tcW w:w="2994" w:type="dxa"/>
          </w:tcPr>
          <w:p w:rsidR="008C0E35" w:rsidRPr="00615A88" w:rsidRDefault="008C0E35" w:rsidP="00234C90">
            <w:pPr>
              <w:pStyle w:val="Default"/>
              <w:jc w:val="both"/>
              <w:rPr>
                <w:rFonts w:eastAsia="Times New Roman"/>
                <w:b/>
                <w:sz w:val="28"/>
                <w:szCs w:val="28"/>
                <w:lang w:val="ro-RO"/>
              </w:rPr>
            </w:pPr>
            <w:r w:rsidRPr="00615A88">
              <w:rPr>
                <w:rFonts w:eastAsia="Times New Roman"/>
                <w:b/>
                <w:sz w:val="28"/>
                <w:szCs w:val="28"/>
                <w:lang w:val="ro-RO"/>
              </w:rPr>
              <w:t>Termenul de achitare</w:t>
            </w:r>
          </w:p>
        </w:tc>
      </w:tr>
      <w:tr w:rsidR="008C0E35" w:rsidRPr="00F32067" w:rsidTr="000A5336">
        <w:tc>
          <w:tcPr>
            <w:tcW w:w="613" w:type="dxa"/>
          </w:tcPr>
          <w:p w:rsidR="008C0E35" w:rsidRPr="00615A88" w:rsidRDefault="008C0E35" w:rsidP="00234C90">
            <w:pPr>
              <w:pStyle w:val="Default"/>
              <w:jc w:val="center"/>
              <w:rPr>
                <w:rFonts w:eastAsia="Times New Roman"/>
                <w:b/>
                <w:sz w:val="28"/>
                <w:szCs w:val="28"/>
                <w:lang w:val="ro-RO"/>
              </w:rPr>
            </w:pPr>
            <w:r w:rsidRPr="00615A88">
              <w:rPr>
                <w:rFonts w:eastAsia="Times New Roman"/>
                <w:b/>
                <w:sz w:val="28"/>
                <w:szCs w:val="28"/>
                <w:lang w:val="ro-RO"/>
              </w:rPr>
              <w:t>1.</w:t>
            </w:r>
          </w:p>
        </w:tc>
        <w:tc>
          <w:tcPr>
            <w:tcW w:w="6475" w:type="dxa"/>
          </w:tcPr>
          <w:p w:rsidR="008C0E35" w:rsidRPr="00615A88" w:rsidRDefault="008C0E35" w:rsidP="00234C90">
            <w:pPr>
              <w:pStyle w:val="Default"/>
              <w:jc w:val="both"/>
              <w:rPr>
                <w:rFonts w:eastAsia="Times New Roman"/>
                <w:sz w:val="28"/>
                <w:szCs w:val="28"/>
                <w:lang w:val="ro-RO"/>
              </w:rPr>
            </w:pPr>
            <w:r w:rsidRPr="00615A88">
              <w:rPr>
                <w:rFonts w:eastAsia="Times New Roman"/>
                <w:sz w:val="28"/>
                <w:szCs w:val="28"/>
                <w:lang w:val="ro-RO"/>
              </w:rPr>
              <w:t>Plata anuală în mărime de un salariu mediu lunar pe economie, prognozat și aprobat anual de către Guvern, pentru fiecare raport al auditorului emis pentru auditul situaţiilor financiare individuale la entităţile de interes public și la entităţile mari</w:t>
            </w:r>
          </w:p>
        </w:tc>
        <w:tc>
          <w:tcPr>
            <w:tcW w:w="2994" w:type="dxa"/>
          </w:tcPr>
          <w:p w:rsidR="0069433D" w:rsidRPr="00615A88" w:rsidRDefault="000A5336" w:rsidP="0069433D">
            <w:pPr>
              <w:pStyle w:val="Default"/>
              <w:jc w:val="both"/>
              <w:rPr>
                <w:rFonts w:eastAsia="Times New Roman"/>
                <w:sz w:val="28"/>
                <w:szCs w:val="28"/>
                <w:lang w:val="ro-RO"/>
              </w:rPr>
            </w:pPr>
            <w:r>
              <w:rPr>
                <w:rFonts w:eastAsia="Times New Roman"/>
                <w:sz w:val="28"/>
                <w:szCs w:val="28"/>
                <w:lang w:val="ro-RO"/>
              </w:rPr>
              <w:t>Pentru rapoartele auditorilor</w:t>
            </w:r>
            <w:r w:rsidR="0069433D" w:rsidRPr="00615A88">
              <w:rPr>
                <w:rFonts w:eastAsia="Times New Roman"/>
                <w:sz w:val="28"/>
                <w:szCs w:val="28"/>
                <w:lang w:val="ro-RO"/>
              </w:rPr>
              <w:t xml:space="preserve"> emise în  semestrul  I – pînă la 30 iunie;</w:t>
            </w:r>
          </w:p>
          <w:p w:rsidR="008C0E35" w:rsidRPr="00615A88" w:rsidRDefault="000A5336" w:rsidP="0069433D">
            <w:pPr>
              <w:pStyle w:val="Default"/>
              <w:jc w:val="both"/>
              <w:rPr>
                <w:rFonts w:eastAsia="Times New Roman"/>
                <w:sz w:val="28"/>
                <w:szCs w:val="28"/>
                <w:lang w:val="ro-RO"/>
              </w:rPr>
            </w:pPr>
            <w:r>
              <w:rPr>
                <w:rFonts w:eastAsia="Times New Roman"/>
                <w:sz w:val="28"/>
                <w:szCs w:val="28"/>
                <w:lang w:val="ro-RO"/>
              </w:rPr>
              <w:t>Pentru rapoartele auditorilor</w:t>
            </w:r>
            <w:r w:rsidR="0069433D" w:rsidRPr="00615A88">
              <w:rPr>
                <w:rFonts w:eastAsia="Times New Roman"/>
                <w:sz w:val="28"/>
                <w:szCs w:val="28"/>
                <w:lang w:val="ro-RO"/>
              </w:rPr>
              <w:t xml:space="preserve"> emise în  semestrul II – pînă la 31 decembrie</w:t>
            </w:r>
          </w:p>
        </w:tc>
      </w:tr>
      <w:tr w:rsidR="008C0E35" w:rsidRPr="00F32067" w:rsidTr="000A5336">
        <w:tc>
          <w:tcPr>
            <w:tcW w:w="613" w:type="dxa"/>
          </w:tcPr>
          <w:p w:rsidR="008C0E35" w:rsidRPr="00615A88" w:rsidRDefault="008C0E35" w:rsidP="00234C90">
            <w:pPr>
              <w:pStyle w:val="Default"/>
              <w:jc w:val="center"/>
              <w:rPr>
                <w:rFonts w:eastAsia="Times New Roman"/>
                <w:b/>
                <w:sz w:val="28"/>
                <w:szCs w:val="28"/>
                <w:lang w:val="ro-RO"/>
              </w:rPr>
            </w:pPr>
            <w:r w:rsidRPr="00615A88">
              <w:rPr>
                <w:rFonts w:eastAsia="Times New Roman"/>
                <w:b/>
                <w:sz w:val="28"/>
                <w:szCs w:val="28"/>
                <w:lang w:val="ro-RO"/>
              </w:rPr>
              <w:t>2.</w:t>
            </w:r>
          </w:p>
        </w:tc>
        <w:tc>
          <w:tcPr>
            <w:tcW w:w="6475" w:type="dxa"/>
          </w:tcPr>
          <w:p w:rsidR="008C0E35" w:rsidRPr="00615A88" w:rsidRDefault="008C0E35" w:rsidP="00234C90">
            <w:pPr>
              <w:pStyle w:val="Default"/>
              <w:jc w:val="both"/>
              <w:rPr>
                <w:rFonts w:eastAsia="Times New Roman"/>
                <w:sz w:val="28"/>
                <w:szCs w:val="28"/>
                <w:lang w:val="ro-RO"/>
              </w:rPr>
            </w:pPr>
            <w:r w:rsidRPr="00615A88">
              <w:rPr>
                <w:rFonts w:eastAsia="Times New Roman"/>
                <w:sz w:val="28"/>
                <w:szCs w:val="28"/>
                <w:lang w:val="ro-RO"/>
              </w:rPr>
              <w:t xml:space="preserve">Plata anuală în mărime de 0,2 din salariul mediu lunar pe economie, prognozat și aprobat anual de către Guvern, pentru fiecare raport al auditorului emis pentru auditul situaţiilor financiare individuale la alte </w:t>
            </w:r>
            <w:proofErr w:type="spellStart"/>
            <w:r w:rsidRPr="00615A88">
              <w:rPr>
                <w:rFonts w:eastAsia="Times New Roman"/>
                <w:sz w:val="28"/>
                <w:szCs w:val="28"/>
                <w:lang w:val="ro-RO"/>
              </w:rPr>
              <w:t>entităţi</w:t>
            </w:r>
            <w:proofErr w:type="spellEnd"/>
            <w:r w:rsidRPr="00615A88">
              <w:rPr>
                <w:rFonts w:eastAsia="Times New Roman"/>
                <w:sz w:val="28"/>
                <w:szCs w:val="28"/>
                <w:lang w:val="ro-RO"/>
              </w:rPr>
              <w:t xml:space="preserve"> </w:t>
            </w:r>
            <w:proofErr w:type="spellStart"/>
            <w:r w:rsidRPr="00615A88">
              <w:rPr>
                <w:rFonts w:eastAsia="Times New Roman"/>
                <w:sz w:val="28"/>
                <w:szCs w:val="28"/>
                <w:lang w:val="ro-RO"/>
              </w:rPr>
              <w:t>decît</w:t>
            </w:r>
            <w:proofErr w:type="spellEnd"/>
            <w:r w:rsidRPr="00615A88">
              <w:rPr>
                <w:rFonts w:eastAsia="Times New Roman"/>
                <w:sz w:val="28"/>
                <w:szCs w:val="28"/>
                <w:lang w:val="ro-RO"/>
              </w:rPr>
              <w:t xml:space="preserve"> la </w:t>
            </w:r>
            <w:proofErr w:type="spellStart"/>
            <w:r w:rsidRPr="00615A88">
              <w:rPr>
                <w:rFonts w:eastAsia="Times New Roman"/>
                <w:sz w:val="28"/>
                <w:szCs w:val="28"/>
                <w:lang w:val="ro-RO"/>
              </w:rPr>
              <w:t>entităţile</w:t>
            </w:r>
            <w:proofErr w:type="spellEnd"/>
            <w:r w:rsidRPr="00615A88">
              <w:rPr>
                <w:rFonts w:eastAsia="Times New Roman"/>
                <w:sz w:val="28"/>
                <w:szCs w:val="28"/>
                <w:lang w:val="ro-RO"/>
              </w:rPr>
              <w:t xml:space="preserve"> de interes public şi la entităţile mari supuse auditului obligatoriu şi solicitat</w:t>
            </w:r>
          </w:p>
        </w:tc>
        <w:tc>
          <w:tcPr>
            <w:tcW w:w="2994" w:type="dxa"/>
          </w:tcPr>
          <w:p w:rsidR="0069433D" w:rsidRPr="00615A88" w:rsidRDefault="000A5336" w:rsidP="0069433D">
            <w:pPr>
              <w:pStyle w:val="Default"/>
              <w:jc w:val="both"/>
              <w:rPr>
                <w:rFonts w:eastAsia="Times New Roman"/>
                <w:sz w:val="28"/>
                <w:szCs w:val="28"/>
                <w:lang w:val="ro-RO"/>
              </w:rPr>
            </w:pPr>
            <w:r>
              <w:rPr>
                <w:rFonts w:eastAsia="Times New Roman"/>
                <w:sz w:val="28"/>
                <w:szCs w:val="28"/>
                <w:lang w:val="ro-RO"/>
              </w:rPr>
              <w:t>Pentru rapoartele auditorilor</w:t>
            </w:r>
            <w:r w:rsidR="0069433D" w:rsidRPr="00615A88">
              <w:rPr>
                <w:rFonts w:eastAsia="Times New Roman"/>
                <w:sz w:val="28"/>
                <w:szCs w:val="28"/>
                <w:lang w:val="ro-RO"/>
              </w:rPr>
              <w:t xml:space="preserve"> emise în  semestrul  I – pînă la 30 iunie;</w:t>
            </w:r>
          </w:p>
          <w:p w:rsidR="008C0E35" w:rsidRPr="00615A88" w:rsidRDefault="000A5336" w:rsidP="0069433D">
            <w:pPr>
              <w:pStyle w:val="Default"/>
              <w:jc w:val="both"/>
              <w:rPr>
                <w:rFonts w:eastAsia="Times New Roman"/>
                <w:sz w:val="28"/>
                <w:szCs w:val="28"/>
                <w:lang w:val="ro-RO"/>
              </w:rPr>
            </w:pPr>
            <w:r>
              <w:rPr>
                <w:rFonts w:eastAsia="Times New Roman"/>
                <w:sz w:val="28"/>
                <w:szCs w:val="28"/>
                <w:lang w:val="ro-RO"/>
              </w:rPr>
              <w:t>Pentru rapoartele auditorilor</w:t>
            </w:r>
            <w:r w:rsidR="0069433D" w:rsidRPr="00615A88">
              <w:rPr>
                <w:rFonts w:eastAsia="Times New Roman"/>
                <w:sz w:val="28"/>
                <w:szCs w:val="28"/>
                <w:lang w:val="ro-RO"/>
              </w:rPr>
              <w:t xml:space="preserve"> emise în  semestrul II – pînă la 31 decembrie</w:t>
            </w:r>
          </w:p>
        </w:tc>
      </w:tr>
      <w:tr w:rsidR="008C0E35" w:rsidRPr="00F32067" w:rsidTr="000A5336">
        <w:tc>
          <w:tcPr>
            <w:tcW w:w="613" w:type="dxa"/>
          </w:tcPr>
          <w:p w:rsidR="008C0E35" w:rsidRPr="00615A88" w:rsidRDefault="008C0E35" w:rsidP="00234C90">
            <w:pPr>
              <w:pStyle w:val="Default"/>
              <w:jc w:val="center"/>
              <w:rPr>
                <w:rFonts w:eastAsia="Times New Roman"/>
                <w:b/>
                <w:sz w:val="28"/>
                <w:szCs w:val="28"/>
                <w:lang w:val="ro-RO"/>
              </w:rPr>
            </w:pPr>
            <w:r w:rsidRPr="00615A88">
              <w:rPr>
                <w:rFonts w:eastAsia="Times New Roman"/>
                <w:b/>
                <w:sz w:val="28"/>
                <w:szCs w:val="28"/>
                <w:lang w:val="ro-RO"/>
              </w:rPr>
              <w:t>3.</w:t>
            </w:r>
          </w:p>
        </w:tc>
        <w:tc>
          <w:tcPr>
            <w:tcW w:w="6475" w:type="dxa"/>
          </w:tcPr>
          <w:p w:rsidR="008C0E35" w:rsidRPr="00615A88" w:rsidRDefault="008C0E35" w:rsidP="00234C90">
            <w:pPr>
              <w:pStyle w:val="Default"/>
              <w:jc w:val="both"/>
              <w:rPr>
                <w:rFonts w:eastAsia="Times New Roman"/>
                <w:sz w:val="28"/>
                <w:szCs w:val="28"/>
                <w:lang w:val="ro-RO"/>
              </w:rPr>
            </w:pPr>
            <w:r w:rsidRPr="00615A88">
              <w:rPr>
                <w:rFonts w:eastAsia="Times New Roman"/>
                <w:sz w:val="28"/>
                <w:szCs w:val="28"/>
                <w:lang w:val="ro-RO"/>
              </w:rPr>
              <w:t>Plata anuală în mărime de 0,5 din salariul mediu lunar pe economie, prognozat și aprobat anual de către Guvern, pentru fiecare raport al auditorului emis pentru auditul situaţiilor financiare consolidate</w:t>
            </w:r>
          </w:p>
        </w:tc>
        <w:tc>
          <w:tcPr>
            <w:tcW w:w="2994" w:type="dxa"/>
          </w:tcPr>
          <w:p w:rsidR="0069433D" w:rsidRPr="00615A88" w:rsidRDefault="000A5336" w:rsidP="0069433D">
            <w:pPr>
              <w:pStyle w:val="Default"/>
              <w:jc w:val="both"/>
              <w:rPr>
                <w:rFonts w:eastAsia="Times New Roman"/>
                <w:sz w:val="28"/>
                <w:szCs w:val="28"/>
                <w:lang w:val="ro-RO"/>
              </w:rPr>
            </w:pPr>
            <w:r>
              <w:rPr>
                <w:rFonts w:eastAsia="Times New Roman"/>
                <w:sz w:val="28"/>
                <w:szCs w:val="28"/>
                <w:lang w:val="ro-RO"/>
              </w:rPr>
              <w:t>Pentru rapoartele auditorilor</w:t>
            </w:r>
            <w:r w:rsidR="0069433D" w:rsidRPr="00615A88">
              <w:rPr>
                <w:rFonts w:eastAsia="Times New Roman"/>
                <w:sz w:val="28"/>
                <w:szCs w:val="28"/>
                <w:lang w:val="ro-RO"/>
              </w:rPr>
              <w:t xml:space="preserve"> emise în  semestrul  I – pînă la 30 iunie;</w:t>
            </w:r>
          </w:p>
          <w:p w:rsidR="008C0E35" w:rsidRPr="00615A88" w:rsidRDefault="000A5336" w:rsidP="0069433D">
            <w:pPr>
              <w:pStyle w:val="Default"/>
              <w:jc w:val="both"/>
              <w:rPr>
                <w:rFonts w:eastAsia="Times New Roman"/>
                <w:sz w:val="28"/>
                <w:szCs w:val="28"/>
                <w:lang w:val="ro-RO"/>
              </w:rPr>
            </w:pPr>
            <w:r>
              <w:rPr>
                <w:rFonts w:eastAsia="Times New Roman"/>
                <w:sz w:val="28"/>
                <w:szCs w:val="28"/>
                <w:lang w:val="ro-RO"/>
              </w:rPr>
              <w:t>Pentru r</w:t>
            </w:r>
            <w:r w:rsidR="0069433D" w:rsidRPr="00615A88">
              <w:rPr>
                <w:rFonts w:eastAsia="Times New Roman"/>
                <w:sz w:val="28"/>
                <w:szCs w:val="28"/>
                <w:lang w:val="ro-RO"/>
              </w:rPr>
              <w:t>apoart</w:t>
            </w:r>
            <w:r>
              <w:rPr>
                <w:rFonts w:eastAsia="Times New Roman"/>
                <w:sz w:val="28"/>
                <w:szCs w:val="28"/>
                <w:lang w:val="ro-RO"/>
              </w:rPr>
              <w:t>ele auditorilor</w:t>
            </w:r>
            <w:r w:rsidR="0069433D" w:rsidRPr="00615A88">
              <w:rPr>
                <w:rFonts w:eastAsia="Times New Roman"/>
                <w:sz w:val="28"/>
                <w:szCs w:val="28"/>
                <w:lang w:val="ro-RO"/>
              </w:rPr>
              <w:t xml:space="preserve"> emise în  semestrul II – pînă la 31 decembrie</w:t>
            </w:r>
          </w:p>
        </w:tc>
      </w:tr>
      <w:tr w:rsidR="008C0E35" w:rsidRPr="00F32067" w:rsidTr="000A5336">
        <w:tc>
          <w:tcPr>
            <w:tcW w:w="613" w:type="dxa"/>
          </w:tcPr>
          <w:p w:rsidR="008C0E35" w:rsidRPr="00615A88" w:rsidRDefault="008C0E35" w:rsidP="00234C90">
            <w:pPr>
              <w:pStyle w:val="Default"/>
              <w:jc w:val="center"/>
              <w:rPr>
                <w:rFonts w:eastAsia="Times New Roman"/>
                <w:b/>
                <w:sz w:val="28"/>
                <w:szCs w:val="28"/>
                <w:lang w:val="ro-RO"/>
              </w:rPr>
            </w:pPr>
            <w:r w:rsidRPr="00615A88">
              <w:rPr>
                <w:rFonts w:eastAsia="Times New Roman"/>
                <w:b/>
                <w:sz w:val="28"/>
                <w:szCs w:val="28"/>
                <w:lang w:val="ro-RO"/>
              </w:rPr>
              <w:t>4.</w:t>
            </w:r>
          </w:p>
        </w:tc>
        <w:tc>
          <w:tcPr>
            <w:tcW w:w="6475" w:type="dxa"/>
          </w:tcPr>
          <w:p w:rsidR="008C0E35" w:rsidRPr="00615A88" w:rsidRDefault="008C0E35" w:rsidP="00234C90">
            <w:pPr>
              <w:pStyle w:val="Default"/>
              <w:jc w:val="both"/>
              <w:rPr>
                <w:rFonts w:eastAsia="Times New Roman"/>
                <w:sz w:val="28"/>
                <w:szCs w:val="28"/>
                <w:lang w:val="ro-RO"/>
              </w:rPr>
            </w:pPr>
            <w:r w:rsidRPr="00615A88">
              <w:rPr>
                <w:rFonts w:eastAsia="Times New Roman"/>
                <w:sz w:val="28"/>
                <w:szCs w:val="28"/>
                <w:lang w:val="ro-RO"/>
              </w:rPr>
              <w:t>Plata în mărime de 0,2 din salariul mediu lunar pe economie, prognozat și aprobat anual de către Guvern, pentru admiterea la probele scrise ale examenului pentru obținerea calificării profesionale de auditor</w:t>
            </w:r>
          </w:p>
        </w:tc>
        <w:tc>
          <w:tcPr>
            <w:tcW w:w="2994" w:type="dxa"/>
          </w:tcPr>
          <w:p w:rsidR="008C0E35" w:rsidRPr="00615A88" w:rsidRDefault="008C0E35" w:rsidP="00234C90">
            <w:pPr>
              <w:pStyle w:val="Default"/>
              <w:jc w:val="both"/>
              <w:rPr>
                <w:rFonts w:eastAsia="Times New Roman"/>
                <w:sz w:val="28"/>
                <w:szCs w:val="28"/>
                <w:lang w:val="ro-RO"/>
              </w:rPr>
            </w:pPr>
            <w:r w:rsidRPr="00615A88">
              <w:rPr>
                <w:rFonts w:eastAsia="Times New Roman"/>
                <w:sz w:val="28"/>
                <w:szCs w:val="28"/>
                <w:lang w:val="ro-RO"/>
              </w:rPr>
              <w:t>La data depunerii cererii pentru susținerea examenului pentru fiecare disciplină</w:t>
            </w:r>
          </w:p>
        </w:tc>
      </w:tr>
      <w:tr w:rsidR="008C0E35" w:rsidRPr="00615A88" w:rsidTr="000A5336">
        <w:tc>
          <w:tcPr>
            <w:tcW w:w="613" w:type="dxa"/>
          </w:tcPr>
          <w:p w:rsidR="008C0E35" w:rsidRPr="00615A88" w:rsidRDefault="008C0E35" w:rsidP="00234C90">
            <w:pPr>
              <w:pStyle w:val="Default"/>
              <w:jc w:val="center"/>
              <w:rPr>
                <w:rFonts w:eastAsia="Times New Roman"/>
                <w:b/>
                <w:sz w:val="28"/>
                <w:szCs w:val="28"/>
                <w:lang w:val="ro-RO"/>
              </w:rPr>
            </w:pPr>
            <w:r w:rsidRPr="00615A88">
              <w:rPr>
                <w:rFonts w:eastAsia="Times New Roman"/>
                <w:b/>
                <w:sz w:val="28"/>
                <w:szCs w:val="28"/>
                <w:lang w:val="ro-RO"/>
              </w:rPr>
              <w:lastRenderedPageBreak/>
              <w:t>5.</w:t>
            </w:r>
          </w:p>
        </w:tc>
        <w:tc>
          <w:tcPr>
            <w:tcW w:w="6475" w:type="dxa"/>
          </w:tcPr>
          <w:p w:rsidR="008C0E35" w:rsidRPr="00615A88" w:rsidRDefault="008C0E35" w:rsidP="00234C90">
            <w:pPr>
              <w:pStyle w:val="Default"/>
              <w:jc w:val="both"/>
              <w:rPr>
                <w:rFonts w:eastAsia="Times New Roman"/>
                <w:sz w:val="28"/>
                <w:szCs w:val="28"/>
                <w:lang w:val="ro-RO"/>
              </w:rPr>
            </w:pPr>
            <w:r w:rsidRPr="00615A88">
              <w:rPr>
                <w:rFonts w:eastAsia="Times New Roman"/>
                <w:sz w:val="28"/>
                <w:szCs w:val="28"/>
                <w:lang w:val="ro-RO"/>
              </w:rPr>
              <w:t>Cotizațiile anuale ale auditorilor în mărime de 0,1 din salariul mediu lunar pe economie, prognozat și aprobat anual de către Guvern</w:t>
            </w:r>
          </w:p>
        </w:tc>
        <w:tc>
          <w:tcPr>
            <w:tcW w:w="2994" w:type="dxa"/>
          </w:tcPr>
          <w:p w:rsidR="008C0E35" w:rsidRPr="00615A88" w:rsidRDefault="008C0E35" w:rsidP="00234C90">
            <w:pPr>
              <w:pStyle w:val="Default"/>
              <w:jc w:val="both"/>
              <w:rPr>
                <w:rFonts w:eastAsia="Times New Roman"/>
                <w:sz w:val="28"/>
                <w:szCs w:val="28"/>
                <w:lang w:val="ro-RO"/>
              </w:rPr>
            </w:pPr>
            <w:r w:rsidRPr="00615A88">
              <w:rPr>
                <w:rFonts w:eastAsia="Times New Roman"/>
                <w:sz w:val="28"/>
                <w:szCs w:val="28"/>
                <w:lang w:val="ro-RO"/>
              </w:rPr>
              <w:t>Pînă la 15 februarie conform datelor din Registrul public al auditorilor la 1 ianuarie a fiecărui an*</w:t>
            </w:r>
          </w:p>
        </w:tc>
      </w:tr>
      <w:tr w:rsidR="008C0E35" w:rsidRPr="00615A88" w:rsidTr="000A5336">
        <w:tc>
          <w:tcPr>
            <w:tcW w:w="613" w:type="dxa"/>
          </w:tcPr>
          <w:p w:rsidR="008C0E35" w:rsidRPr="00615A88" w:rsidRDefault="008C0E35" w:rsidP="00234C90">
            <w:pPr>
              <w:pStyle w:val="Default"/>
              <w:jc w:val="center"/>
              <w:rPr>
                <w:rFonts w:eastAsia="Times New Roman"/>
                <w:b/>
                <w:sz w:val="28"/>
                <w:szCs w:val="28"/>
                <w:lang w:val="ro-RO"/>
              </w:rPr>
            </w:pPr>
            <w:r w:rsidRPr="00615A88">
              <w:rPr>
                <w:rFonts w:eastAsia="Times New Roman"/>
                <w:b/>
                <w:sz w:val="28"/>
                <w:szCs w:val="28"/>
                <w:lang w:val="ro-RO"/>
              </w:rPr>
              <w:t>6.</w:t>
            </w:r>
          </w:p>
        </w:tc>
        <w:tc>
          <w:tcPr>
            <w:tcW w:w="6475" w:type="dxa"/>
          </w:tcPr>
          <w:p w:rsidR="008C0E35" w:rsidRPr="00615A88" w:rsidRDefault="008C0E35" w:rsidP="00234C90">
            <w:pPr>
              <w:pStyle w:val="Default"/>
              <w:jc w:val="both"/>
              <w:rPr>
                <w:rFonts w:eastAsia="Times New Roman"/>
                <w:sz w:val="28"/>
                <w:szCs w:val="28"/>
                <w:lang w:val="ro-RO"/>
              </w:rPr>
            </w:pPr>
            <w:r w:rsidRPr="00615A88">
              <w:rPr>
                <w:rFonts w:eastAsia="Times New Roman"/>
                <w:sz w:val="28"/>
                <w:szCs w:val="28"/>
                <w:lang w:val="ro-RO"/>
              </w:rPr>
              <w:t>Cotizațiile anuale ale stagiarilor în mărime de 0,05 din salariul mediu lunar pe economie, prognozat și aprobat anual de către Guvern</w:t>
            </w:r>
          </w:p>
        </w:tc>
        <w:tc>
          <w:tcPr>
            <w:tcW w:w="2994" w:type="dxa"/>
          </w:tcPr>
          <w:p w:rsidR="008C0E35" w:rsidRPr="00615A88" w:rsidRDefault="008C0E35" w:rsidP="00234C90">
            <w:pPr>
              <w:pStyle w:val="Default"/>
              <w:jc w:val="both"/>
              <w:rPr>
                <w:rFonts w:eastAsia="Times New Roman"/>
                <w:sz w:val="28"/>
                <w:szCs w:val="28"/>
                <w:lang w:val="ro-RO"/>
              </w:rPr>
            </w:pPr>
            <w:r w:rsidRPr="00615A88">
              <w:rPr>
                <w:rFonts w:eastAsia="Times New Roman"/>
                <w:sz w:val="28"/>
                <w:szCs w:val="28"/>
                <w:lang w:val="ro-RO"/>
              </w:rPr>
              <w:t>Pînă la 15 februarie conform datelor din Registrul   stagiarilor la 1 ianuarie a fiecărui an*</w:t>
            </w:r>
          </w:p>
        </w:tc>
      </w:tr>
      <w:tr w:rsidR="008C0E35" w:rsidRPr="00F32067" w:rsidTr="000A5336">
        <w:tc>
          <w:tcPr>
            <w:tcW w:w="613" w:type="dxa"/>
          </w:tcPr>
          <w:p w:rsidR="008C0E35" w:rsidRPr="00615A88" w:rsidRDefault="008C0E35" w:rsidP="00234C90">
            <w:pPr>
              <w:pStyle w:val="Default"/>
              <w:jc w:val="center"/>
              <w:rPr>
                <w:rFonts w:eastAsia="Times New Roman"/>
                <w:b/>
                <w:sz w:val="28"/>
                <w:szCs w:val="28"/>
                <w:lang w:val="ro-RO"/>
              </w:rPr>
            </w:pPr>
            <w:r w:rsidRPr="00615A88">
              <w:rPr>
                <w:rFonts w:eastAsia="Times New Roman"/>
                <w:b/>
                <w:sz w:val="28"/>
                <w:szCs w:val="28"/>
                <w:lang w:val="ro-RO"/>
              </w:rPr>
              <w:t>7.</w:t>
            </w:r>
          </w:p>
        </w:tc>
        <w:tc>
          <w:tcPr>
            <w:tcW w:w="6475" w:type="dxa"/>
          </w:tcPr>
          <w:p w:rsidR="008C0E35" w:rsidRPr="00615A88" w:rsidRDefault="008C0E35" w:rsidP="00234C90">
            <w:pPr>
              <w:pStyle w:val="Default"/>
              <w:jc w:val="both"/>
              <w:rPr>
                <w:rFonts w:eastAsia="Times New Roman"/>
                <w:sz w:val="28"/>
                <w:szCs w:val="28"/>
                <w:lang w:val="ro-RO"/>
              </w:rPr>
            </w:pPr>
            <w:r w:rsidRPr="00615A88">
              <w:rPr>
                <w:rFonts w:eastAsia="Times New Roman"/>
                <w:sz w:val="28"/>
                <w:szCs w:val="28"/>
                <w:lang w:val="ro-RO"/>
              </w:rPr>
              <w:t>Plata pentru recunoașterea certificatului internațional în domeniul contabilității și auditului în mărime de 0,1 din salariul mediu lunar pe economie, prognozat și aprobat anual de către Guvern</w:t>
            </w:r>
          </w:p>
        </w:tc>
        <w:tc>
          <w:tcPr>
            <w:tcW w:w="2994" w:type="dxa"/>
          </w:tcPr>
          <w:p w:rsidR="008C0E35" w:rsidRPr="00615A88" w:rsidRDefault="008C0E35" w:rsidP="00234C90">
            <w:pPr>
              <w:pStyle w:val="Default"/>
              <w:jc w:val="both"/>
              <w:rPr>
                <w:rFonts w:eastAsia="Times New Roman"/>
                <w:sz w:val="28"/>
                <w:szCs w:val="28"/>
                <w:lang w:val="ro-RO"/>
              </w:rPr>
            </w:pPr>
            <w:r w:rsidRPr="00615A88">
              <w:rPr>
                <w:rFonts w:eastAsia="Times New Roman"/>
                <w:sz w:val="28"/>
                <w:szCs w:val="28"/>
                <w:lang w:val="ro-RO"/>
              </w:rPr>
              <w:t>La data depunerii cererii pentru recunoașterea certificatului</w:t>
            </w:r>
          </w:p>
        </w:tc>
      </w:tr>
      <w:tr w:rsidR="008C0E35" w:rsidRPr="00F32067" w:rsidTr="000A5336">
        <w:tc>
          <w:tcPr>
            <w:tcW w:w="613" w:type="dxa"/>
          </w:tcPr>
          <w:p w:rsidR="008C0E35" w:rsidRPr="00615A88" w:rsidRDefault="008C0E35" w:rsidP="00234C90">
            <w:pPr>
              <w:pStyle w:val="Default"/>
              <w:jc w:val="center"/>
              <w:rPr>
                <w:rFonts w:eastAsia="Times New Roman"/>
                <w:b/>
                <w:sz w:val="28"/>
                <w:szCs w:val="28"/>
                <w:lang w:val="ro-RO"/>
              </w:rPr>
            </w:pPr>
            <w:r w:rsidRPr="00615A88">
              <w:rPr>
                <w:rFonts w:eastAsia="Times New Roman"/>
                <w:b/>
                <w:sz w:val="28"/>
                <w:szCs w:val="28"/>
                <w:lang w:val="ro-RO"/>
              </w:rPr>
              <w:t>8.</w:t>
            </w:r>
          </w:p>
        </w:tc>
        <w:tc>
          <w:tcPr>
            <w:tcW w:w="6475" w:type="dxa"/>
          </w:tcPr>
          <w:p w:rsidR="008C0E35" w:rsidRPr="00615A88" w:rsidRDefault="008C0E35" w:rsidP="00234C90">
            <w:pPr>
              <w:pStyle w:val="Default"/>
              <w:jc w:val="both"/>
              <w:rPr>
                <w:rFonts w:eastAsia="Times New Roman"/>
                <w:sz w:val="28"/>
                <w:szCs w:val="28"/>
                <w:lang w:val="ro-RO"/>
              </w:rPr>
            </w:pPr>
            <w:r w:rsidRPr="00615A88">
              <w:rPr>
                <w:rFonts w:eastAsia="Times New Roman"/>
                <w:sz w:val="28"/>
                <w:szCs w:val="28"/>
                <w:lang w:val="ro-RO"/>
              </w:rPr>
              <w:t>Plata unică în mărime de 0,1 din salariul mediu lunar pe economie, prognozat și aprobat anual de către Guvern, pentru înregistrarea auditorilor în Registrul public al auditorilor</w:t>
            </w:r>
          </w:p>
        </w:tc>
        <w:tc>
          <w:tcPr>
            <w:tcW w:w="2994" w:type="dxa"/>
          </w:tcPr>
          <w:p w:rsidR="008C0E35" w:rsidRPr="00615A88" w:rsidRDefault="008C0E35" w:rsidP="00234C90">
            <w:pPr>
              <w:pStyle w:val="Default"/>
              <w:jc w:val="both"/>
              <w:rPr>
                <w:rFonts w:eastAsia="Times New Roman"/>
                <w:sz w:val="28"/>
                <w:szCs w:val="28"/>
                <w:lang w:val="ro-RO"/>
              </w:rPr>
            </w:pPr>
            <w:r w:rsidRPr="00615A88">
              <w:rPr>
                <w:rFonts w:eastAsia="Times New Roman"/>
                <w:sz w:val="28"/>
                <w:szCs w:val="28"/>
                <w:lang w:val="ro-RO"/>
              </w:rPr>
              <w:t>La data depunerii cererii de înregistrare</w:t>
            </w:r>
          </w:p>
        </w:tc>
      </w:tr>
      <w:tr w:rsidR="008C0E35" w:rsidRPr="00F32067" w:rsidTr="000A5336">
        <w:tc>
          <w:tcPr>
            <w:tcW w:w="613" w:type="dxa"/>
          </w:tcPr>
          <w:p w:rsidR="008C0E35" w:rsidRPr="00615A88" w:rsidRDefault="008C0E35" w:rsidP="00234C90">
            <w:pPr>
              <w:pStyle w:val="Default"/>
              <w:jc w:val="center"/>
              <w:rPr>
                <w:rFonts w:eastAsia="Times New Roman"/>
                <w:b/>
                <w:sz w:val="28"/>
                <w:szCs w:val="28"/>
                <w:lang w:val="ro-RO"/>
              </w:rPr>
            </w:pPr>
            <w:r w:rsidRPr="00615A88">
              <w:rPr>
                <w:rFonts w:eastAsia="Times New Roman"/>
                <w:b/>
                <w:sz w:val="28"/>
                <w:szCs w:val="28"/>
                <w:lang w:val="ro-RO"/>
              </w:rPr>
              <w:t>9.</w:t>
            </w:r>
          </w:p>
        </w:tc>
        <w:tc>
          <w:tcPr>
            <w:tcW w:w="6475" w:type="dxa"/>
          </w:tcPr>
          <w:p w:rsidR="008C0E35" w:rsidRPr="00615A88" w:rsidRDefault="008C0E35" w:rsidP="00234C90">
            <w:pPr>
              <w:pStyle w:val="Default"/>
              <w:jc w:val="both"/>
              <w:rPr>
                <w:rFonts w:eastAsia="Times New Roman"/>
                <w:sz w:val="28"/>
                <w:szCs w:val="28"/>
                <w:lang w:val="ro-RO"/>
              </w:rPr>
            </w:pPr>
            <w:r w:rsidRPr="00615A88">
              <w:rPr>
                <w:rFonts w:eastAsia="Times New Roman"/>
                <w:sz w:val="28"/>
                <w:szCs w:val="28"/>
                <w:lang w:val="ro-RO"/>
              </w:rPr>
              <w:t>Plata unică în mărime de 0,2 din salariul mediu lunar pe economie, prognozat și aprobat anual de către Guvern, pentru înregistrarea entităților de audit în Registrul public al entităților de audit</w:t>
            </w:r>
          </w:p>
        </w:tc>
        <w:tc>
          <w:tcPr>
            <w:tcW w:w="2994" w:type="dxa"/>
          </w:tcPr>
          <w:p w:rsidR="008C0E35" w:rsidRPr="00615A88" w:rsidRDefault="008C0E35" w:rsidP="00234C90">
            <w:pPr>
              <w:pStyle w:val="Default"/>
              <w:jc w:val="both"/>
              <w:rPr>
                <w:rFonts w:eastAsia="Times New Roman"/>
                <w:sz w:val="28"/>
                <w:szCs w:val="28"/>
                <w:lang w:val="ro-RO"/>
              </w:rPr>
            </w:pPr>
            <w:r w:rsidRPr="00615A88">
              <w:rPr>
                <w:rFonts w:eastAsia="Times New Roman"/>
                <w:sz w:val="28"/>
                <w:szCs w:val="28"/>
                <w:lang w:val="ro-RO"/>
              </w:rPr>
              <w:t>La data depunerii cererii de înregistrare</w:t>
            </w:r>
          </w:p>
        </w:tc>
      </w:tr>
    </w:tbl>
    <w:p w:rsidR="008C0E35" w:rsidRPr="00615A88" w:rsidRDefault="008C0E35" w:rsidP="008C0E35">
      <w:pPr>
        <w:pStyle w:val="Default"/>
        <w:ind w:left="360"/>
        <w:jc w:val="both"/>
        <w:rPr>
          <w:rFonts w:eastAsia="Times New Roman"/>
          <w:sz w:val="28"/>
          <w:szCs w:val="28"/>
          <w:highlight w:val="lightGray"/>
          <w:lang w:val="ro-RO"/>
        </w:rPr>
      </w:pPr>
    </w:p>
    <w:p w:rsidR="008C0E35" w:rsidRPr="00615A88" w:rsidRDefault="008C0E35" w:rsidP="008C0E35">
      <w:pPr>
        <w:pStyle w:val="Default"/>
        <w:ind w:left="360"/>
        <w:jc w:val="both"/>
        <w:rPr>
          <w:rFonts w:eastAsia="Times New Roman"/>
          <w:sz w:val="28"/>
          <w:szCs w:val="28"/>
          <w:lang w:val="ro-RO"/>
        </w:rPr>
      </w:pPr>
      <w:r w:rsidRPr="000A5336">
        <w:rPr>
          <w:rFonts w:eastAsia="Times New Roman"/>
          <w:sz w:val="28"/>
          <w:szCs w:val="28"/>
          <w:lang w:val="ro-RO"/>
        </w:rPr>
        <w:t>*</w:t>
      </w:r>
      <w:r w:rsidRPr="00615A88">
        <w:rPr>
          <w:rFonts w:eastAsia="Times New Roman"/>
          <w:sz w:val="28"/>
          <w:szCs w:val="28"/>
          <w:lang w:val="ro-RO"/>
        </w:rPr>
        <w:t>Notă:  Pentru anul 2019 – la data depunerii cererii de înregistrare.</w:t>
      </w:r>
    </w:p>
    <w:p w:rsidR="008C0E35" w:rsidRPr="00615A88" w:rsidRDefault="008C0E35" w:rsidP="008C0E35">
      <w:pPr>
        <w:pStyle w:val="Default"/>
        <w:ind w:left="360"/>
        <w:jc w:val="both"/>
        <w:rPr>
          <w:rFonts w:eastAsia="Times New Roman"/>
          <w:sz w:val="28"/>
          <w:szCs w:val="28"/>
          <w:lang w:val="ro-RO"/>
        </w:rPr>
      </w:pPr>
    </w:p>
    <w:p w:rsidR="008C0E35" w:rsidRPr="00615A88" w:rsidRDefault="008C0E35" w:rsidP="008C0E35">
      <w:pPr>
        <w:pStyle w:val="Default"/>
        <w:jc w:val="both"/>
        <w:rPr>
          <w:rFonts w:eastAsia="Times New Roman"/>
          <w:color w:val="000000" w:themeColor="text1"/>
          <w:sz w:val="28"/>
          <w:szCs w:val="28"/>
          <w:lang w:val="ro-RO"/>
        </w:rPr>
      </w:pPr>
      <w:r w:rsidRPr="00615A88">
        <w:rPr>
          <w:rFonts w:eastAsia="Times New Roman"/>
          <w:color w:val="000000" w:themeColor="text1"/>
          <w:sz w:val="28"/>
          <w:szCs w:val="28"/>
          <w:lang w:val="ro-RO"/>
        </w:rPr>
        <w:t xml:space="preserve">         Plățile și cotizațiile se transferă în termenele stabilite în contul curent al Consiliului de supraveghere publică a auditului. </w:t>
      </w:r>
    </w:p>
    <w:p w:rsidR="008C0E35" w:rsidRPr="00615A88" w:rsidRDefault="008C0E35" w:rsidP="008C0E35">
      <w:pPr>
        <w:spacing w:after="0"/>
        <w:jc w:val="both"/>
        <w:rPr>
          <w:rFonts w:ascii="Times New Roman" w:hAnsi="Times New Roman" w:cs="Times New Roman"/>
          <w:sz w:val="28"/>
          <w:szCs w:val="28"/>
          <w:lang w:val="ro-RO"/>
        </w:rPr>
      </w:pPr>
    </w:p>
    <w:p w:rsidR="0068679A" w:rsidRPr="00615A88" w:rsidRDefault="0068679A">
      <w:pPr>
        <w:rPr>
          <w:rFonts w:ascii="Times New Roman" w:hAnsi="Times New Roman" w:cs="Times New Roman"/>
          <w:sz w:val="28"/>
          <w:szCs w:val="28"/>
          <w:lang w:val="fr-FR"/>
        </w:rPr>
      </w:pPr>
    </w:p>
    <w:sectPr w:rsidR="0068679A" w:rsidRPr="00615A88" w:rsidSect="00E07C57">
      <w:pgSz w:w="12240" w:h="15840"/>
      <w:pgMar w:top="851" w:right="629" w:bottom="567"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charset w:val="EE"/>
    <w:family w:val="swiss"/>
    <w:pitch w:val="variable"/>
    <w:sig w:usb0="E10002FF" w:usb1="4000ACFF" w:usb2="00000009" w:usb3="00000000" w:csb0="0000019F" w:csb1="00000000"/>
  </w:font>
  <w:font w:name="Segoe UI">
    <w:charset w:val="EE"/>
    <w:family w:val="swiss"/>
    <w:pitch w:val="variable"/>
    <w:sig w:usb0="E10022FF" w:usb1="C000E47F" w:usb2="00000029" w:usb3="00000000" w:csb0="000001DF" w:csb1="00000000"/>
  </w:font>
  <w:font w:name="Cambria">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9C0AF6"/>
    <w:multiLevelType w:val="hybridMultilevel"/>
    <w:tmpl w:val="3C8AFB4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E35"/>
    <w:rsid w:val="000A5336"/>
    <w:rsid w:val="001038F0"/>
    <w:rsid w:val="00206E01"/>
    <w:rsid w:val="0039427B"/>
    <w:rsid w:val="003C4C27"/>
    <w:rsid w:val="004160BD"/>
    <w:rsid w:val="004B6BAA"/>
    <w:rsid w:val="005F4D8D"/>
    <w:rsid w:val="00615A88"/>
    <w:rsid w:val="006403C8"/>
    <w:rsid w:val="0068679A"/>
    <w:rsid w:val="0069433D"/>
    <w:rsid w:val="006A24B9"/>
    <w:rsid w:val="006B1001"/>
    <w:rsid w:val="008245FF"/>
    <w:rsid w:val="0086765A"/>
    <w:rsid w:val="00872FFD"/>
    <w:rsid w:val="008C0E35"/>
    <w:rsid w:val="008C6725"/>
    <w:rsid w:val="008F6EC6"/>
    <w:rsid w:val="009117DE"/>
    <w:rsid w:val="009452F4"/>
    <w:rsid w:val="009E56A7"/>
    <w:rsid w:val="00B82F8D"/>
    <w:rsid w:val="00C139AE"/>
    <w:rsid w:val="00C24804"/>
    <w:rsid w:val="00C77543"/>
    <w:rsid w:val="00DD4E61"/>
    <w:rsid w:val="00E07C57"/>
    <w:rsid w:val="00E57656"/>
    <w:rsid w:val="00EC3C15"/>
    <w:rsid w:val="00F07F69"/>
    <w:rsid w:val="00F32067"/>
    <w:rsid w:val="00F65CBF"/>
    <w:rsid w:val="00FD5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FB07D"/>
  <w15:docId w15:val="{16CEF02F-BE8F-4216-B38F-19B14F2C9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E35"/>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C0E35"/>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ListParagraph">
    <w:name w:val="List Paragraph"/>
    <w:basedOn w:val="Normal"/>
    <w:uiPriority w:val="34"/>
    <w:qFormat/>
    <w:rsid w:val="008C0E35"/>
    <w:pPr>
      <w:ind w:left="720"/>
      <w:contextualSpacing/>
    </w:pPr>
  </w:style>
  <w:style w:type="table" w:styleId="TableGrid">
    <w:name w:val="Table Grid"/>
    <w:basedOn w:val="TableNormal"/>
    <w:uiPriority w:val="39"/>
    <w:rsid w:val="008C0E3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2F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FFD"/>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461694">
      <w:bodyDiv w:val="1"/>
      <w:marLeft w:val="0"/>
      <w:marRight w:val="0"/>
      <w:marTop w:val="0"/>
      <w:marBottom w:val="0"/>
      <w:divBdr>
        <w:top w:val="none" w:sz="0" w:space="0" w:color="auto"/>
        <w:left w:val="none" w:sz="0" w:space="0" w:color="auto"/>
        <w:bottom w:val="none" w:sz="0" w:space="0" w:color="auto"/>
        <w:right w:val="none" w:sz="0" w:space="0" w:color="auto"/>
      </w:divBdr>
    </w:div>
    <w:div w:id="1732001993">
      <w:bodyDiv w:val="1"/>
      <w:marLeft w:val="0"/>
      <w:marRight w:val="0"/>
      <w:marTop w:val="0"/>
      <w:marBottom w:val="0"/>
      <w:divBdr>
        <w:top w:val="none" w:sz="0" w:space="0" w:color="auto"/>
        <w:left w:val="none" w:sz="0" w:space="0" w:color="auto"/>
        <w:bottom w:val="none" w:sz="0" w:space="0" w:color="auto"/>
        <w:right w:val="none" w:sz="0" w:space="0" w:color="auto"/>
      </w:divBdr>
    </w:div>
    <w:div w:id="207080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550</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office 2007 rus ent:</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graurnicol</dc:creator>
  <cp:lastModifiedBy>Ceban Ada</cp:lastModifiedBy>
  <cp:revision>3</cp:revision>
  <cp:lastPrinted>2019-04-08T08:21:00Z</cp:lastPrinted>
  <dcterms:created xsi:type="dcterms:W3CDTF">2019-04-08T08:30:00Z</dcterms:created>
  <dcterms:modified xsi:type="dcterms:W3CDTF">2019-04-22T11:09:00Z</dcterms:modified>
</cp:coreProperties>
</file>